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F1372" w:rsidRDefault="00BF1372" w14:paraId="14BE7449" w14:textId="672C6605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2F5322CE" wp14:editId="67093FDD">
            <wp:simplePos x="0" y="0"/>
            <wp:positionH relativeFrom="margin">
              <wp:posOffset>3838575</wp:posOffset>
            </wp:positionH>
            <wp:positionV relativeFrom="paragraph">
              <wp:posOffset>-734060</wp:posOffset>
            </wp:positionV>
            <wp:extent cx="2647950" cy="1119505"/>
            <wp:effectExtent l="0" t="0" r="0" b="4445"/>
            <wp:wrapNone/>
            <wp:docPr id="19622860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86033" name="Picture 19622860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0DCE" w:rsidRDefault="00DD4AF6" w14:paraId="2B0E9328" w14:textId="3B528105">
      <w:pPr>
        <w:pStyle w:val="Title"/>
        <w:jc w:val="center"/>
      </w:pPr>
      <w:r>
        <w:t>Parent Carer Voice Herefordshire (PCVH)</w:t>
      </w:r>
    </w:p>
    <w:p w:rsidR="00CC0DCE" w:rsidRDefault="00DD4AF6" w14:paraId="69304117" w14:textId="044A58AB">
      <w:pPr>
        <w:pStyle w:val="Subtitle"/>
        <w:jc w:val="center"/>
      </w:pPr>
      <w:r>
        <w:t>Financial Policy</w:t>
      </w:r>
    </w:p>
    <w:p w:rsidR="00CC0DCE" w:rsidRDefault="00DD4AF6" w14:paraId="7B3E0E35" w14:textId="296C2C18">
      <w:pPr>
        <w:pStyle w:val="Heading1"/>
      </w:pPr>
      <w: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0DCE" w14:paraId="060A9DBF" w14:textId="77777777">
        <w:tc>
          <w:tcPr>
            <w:tcW w:w="4680" w:type="dxa"/>
          </w:tcPr>
          <w:p w:rsidR="00CC0DCE" w:rsidRDefault="00DD4AF6" w14:paraId="16B3F4F4" w14:textId="77777777">
            <w:pPr>
              <w:jc w:val="center"/>
            </w:pPr>
            <w:r>
              <w:rPr>
                <w:b/>
              </w:rPr>
              <w:t>Version</w:t>
            </w:r>
          </w:p>
        </w:tc>
        <w:tc>
          <w:tcPr>
            <w:tcW w:w="4680" w:type="dxa"/>
          </w:tcPr>
          <w:p w:rsidR="00CC0DCE" w:rsidRDefault="00DD4AF6" w14:paraId="10C8E51F" w14:textId="77777777">
            <w:pPr>
              <w:jc w:val="center"/>
            </w:pPr>
            <w:r>
              <w:rPr>
                <w:b/>
              </w:rPr>
              <w:t>Details</w:t>
            </w:r>
          </w:p>
        </w:tc>
      </w:tr>
      <w:tr w:rsidR="00CC0DCE" w14:paraId="035C3A6F" w14:textId="77777777">
        <w:tc>
          <w:tcPr>
            <w:tcW w:w="4680" w:type="dxa"/>
          </w:tcPr>
          <w:p w:rsidR="00CC0DCE" w:rsidRDefault="00DD4AF6" w14:paraId="605266CD" w14:textId="77777777">
            <w:pPr>
              <w:jc w:val="center"/>
            </w:pPr>
            <w:r>
              <w:t>2.0</w:t>
            </w:r>
          </w:p>
        </w:tc>
        <w:tc>
          <w:tcPr>
            <w:tcW w:w="4680" w:type="dxa"/>
          </w:tcPr>
          <w:p w:rsidR="00CC0DCE" w:rsidRDefault="00DD4AF6" w14:paraId="543EAC13" w14:textId="77777777">
            <w:pPr>
              <w:jc w:val="center"/>
            </w:pPr>
            <w:r>
              <w:t>Updated Financial Policy with digital, GDPR, and fraud prevention measures</w:t>
            </w:r>
          </w:p>
        </w:tc>
      </w:tr>
      <w:tr w:rsidR="00CC0DCE" w14:paraId="5C9974F1" w14:textId="77777777">
        <w:tc>
          <w:tcPr>
            <w:tcW w:w="4680" w:type="dxa"/>
          </w:tcPr>
          <w:p w:rsidR="00CC0DCE" w:rsidRDefault="00DD4AF6" w14:paraId="043A6C86" w14:textId="77777777">
            <w:pPr>
              <w:jc w:val="center"/>
            </w:pPr>
            <w:r>
              <w:t>Approved by</w:t>
            </w:r>
          </w:p>
        </w:tc>
        <w:tc>
          <w:tcPr>
            <w:tcW w:w="4680" w:type="dxa"/>
          </w:tcPr>
          <w:p w:rsidR="00CC0DCE" w:rsidRDefault="00DD4AF6" w14:paraId="50620CFF" w14:textId="77777777">
            <w:pPr>
              <w:jc w:val="center"/>
            </w:pPr>
            <w:r>
              <w:t>PCVH Steering Committee</w:t>
            </w:r>
          </w:p>
        </w:tc>
      </w:tr>
      <w:tr w:rsidR="00CC0DCE" w14:paraId="172910E6" w14:textId="77777777">
        <w:tc>
          <w:tcPr>
            <w:tcW w:w="4680" w:type="dxa"/>
          </w:tcPr>
          <w:p w:rsidR="00CC0DCE" w:rsidRDefault="00DD4AF6" w14:paraId="06282762" w14:textId="77777777">
            <w:pPr>
              <w:jc w:val="center"/>
            </w:pPr>
            <w:r>
              <w:t>Approved Date</w:t>
            </w:r>
          </w:p>
        </w:tc>
        <w:tc>
          <w:tcPr>
            <w:tcW w:w="4680" w:type="dxa"/>
          </w:tcPr>
          <w:p w:rsidR="00CC0DCE" w:rsidRDefault="00DD4AF6" w14:paraId="4D7B884F" w14:textId="77777777">
            <w:pPr>
              <w:jc w:val="center"/>
            </w:pPr>
            <w:r>
              <w:t>November 2025</w:t>
            </w:r>
          </w:p>
        </w:tc>
      </w:tr>
      <w:tr w:rsidR="00CC0DCE" w14:paraId="467C919D" w14:textId="77777777">
        <w:tc>
          <w:tcPr>
            <w:tcW w:w="4680" w:type="dxa"/>
          </w:tcPr>
          <w:p w:rsidR="00CC0DCE" w:rsidRDefault="00DD4AF6" w14:paraId="1D7A0500" w14:textId="77777777">
            <w:pPr>
              <w:jc w:val="center"/>
            </w:pPr>
            <w:r>
              <w:t>Next Review Date</w:t>
            </w:r>
          </w:p>
        </w:tc>
        <w:tc>
          <w:tcPr>
            <w:tcW w:w="4680" w:type="dxa"/>
          </w:tcPr>
          <w:p w:rsidR="00CC0DCE" w:rsidRDefault="00BF1372" w14:paraId="6D1E8260" w14:textId="6C300500">
            <w:pPr>
              <w:jc w:val="center"/>
            </w:pPr>
            <w:r>
              <w:t>November</w:t>
            </w:r>
            <w:r w:rsidR="00DD4AF6">
              <w:t xml:space="preserve"> 2026</w:t>
            </w:r>
          </w:p>
        </w:tc>
      </w:tr>
    </w:tbl>
    <w:p w:rsidR="00CC0DCE" w:rsidRDefault="00DD4AF6" w14:paraId="33EB0DE0" w14:textId="18A1E7E4">
      <w:pPr>
        <w:pStyle w:val="Heading1"/>
      </w:pPr>
      <w:r>
        <w:t>Introduction</w:t>
      </w:r>
    </w:p>
    <w:p w:rsidR="00CC0DCE" w:rsidP="4143A0E1" w:rsidRDefault="00DD4AF6" w14:paraId="5B801C0C" w14:textId="018CC7BD">
      <w:pPr>
        <w:jc w:val="both"/>
      </w:pPr>
      <w:r w:rsidR="00DD4AF6">
        <w:rPr/>
        <w:t xml:space="preserve">This Financial Policy ensures that all funds are used to deliver the aims of PCVH, that expenditure is properly authorised, and that this can be </w:t>
      </w:r>
      <w:r w:rsidR="00BF1372">
        <w:rPr/>
        <w:t>proved</w:t>
      </w:r>
      <w:r w:rsidR="00DD4AF6">
        <w:rPr/>
        <w:t>. It applies to all officers, members, and staff engaged in financial transactions on behalf of PCVH.</w:t>
      </w:r>
      <w:r>
        <w:br/>
      </w:r>
      <w:r>
        <w:br/>
      </w:r>
      <w:r w:rsidR="00DD4AF6">
        <w:rPr/>
        <w:t>The policy covers:</w:t>
      </w:r>
      <w:r>
        <w:br/>
      </w:r>
      <w:r w:rsidR="00DD4AF6">
        <w:rPr/>
        <w:t>- Management of financial records</w:t>
      </w:r>
      <w:r>
        <w:br/>
      </w:r>
      <w:r w:rsidR="00DD4AF6">
        <w:rPr/>
        <w:t>- Payments</w:t>
      </w:r>
      <w:r>
        <w:br/>
      </w:r>
      <w:r w:rsidR="00DD4AF6">
        <w:rPr/>
        <w:t>- Receipts</w:t>
      </w:r>
      <w:r>
        <w:br/>
      </w:r>
      <w:r w:rsidR="00DD4AF6">
        <w:rPr/>
        <w:t>- Payment documentation</w:t>
      </w:r>
      <w:r>
        <w:br/>
      </w:r>
      <w:r w:rsidR="00DD4AF6">
        <w:rPr/>
        <w:t>- Expenses</w:t>
      </w:r>
      <w:r>
        <w:br/>
      </w:r>
      <w:r w:rsidR="00DD4AF6">
        <w:rPr/>
        <w:t>- Remuneration</w:t>
      </w:r>
      <w:r>
        <w:br/>
      </w:r>
      <w:r w:rsidR="00DD4AF6">
        <w:rPr/>
        <w:t>- Staff</w:t>
      </w:r>
      <w:r>
        <w:br/>
      </w:r>
      <w:r w:rsidR="00DD4AF6">
        <w:rPr/>
        <w:t>- Other rules</w:t>
      </w:r>
      <w:r>
        <w:br/>
      </w:r>
      <w:r>
        <w:br/>
      </w:r>
      <w:r w:rsidR="00DD4AF6">
        <w:rPr/>
        <w:t>Note: The terms Forum and PCVH are used interchangeably in this policy.</w:t>
      </w:r>
    </w:p>
    <w:p w:rsidR="00CC0DCE" w:rsidRDefault="00DD4AF6" w14:paraId="5CC0D1BF" w14:textId="7AD052CE">
      <w:pPr>
        <w:pStyle w:val="Heading1"/>
      </w:pPr>
      <w:r>
        <w:t>1. Management of Financial Records</w:t>
      </w:r>
    </w:p>
    <w:p w:rsidR="00CC0DCE" w:rsidRDefault="00DD4AF6" w14:paraId="6C3B80F9" w14:textId="17E268D1">
      <w:r>
        <w:t>Financial records must be kept to:</w:t>
      </w:r>
      <w:r>
        <w:br/>
      </w:r>
      <w:r>
        <w:t>- Maintain proper financial control on behalf of members.</w:t>
      </w:r>
      <w:r>
        <w:br/>
      </w:r>
      <w:r>
        <w:t>- Meet legal, statutory, and contractual obligations.</w:t>
      </w:r>
      <w:r>
        <w:br/>
      </w:r>
      <w:r>
        <w:t>- Comply with funder requirements.</w:t>
      </w:r>
    </w:p>
    <w:p w:rsidR="00CC0DCE" w:rsidRDefault="00DD4AF6" w14:paraId="41CFC293" w14:textId="15416B3A">
      <w:r>
        <w:t>Records must include:</w:t>
      </w:r>
      <w:r>
        <w:br/>
      </w:r>
      <w:r>
        <w:t>- Analysis of transactions appearing on bank accounts.</w:t>
      </w:r>
      <w:r>
        <w:br/>
      </w:r>
      <w:r>
        <w:t>- Copies of invoices, receipts, and authorisations.</w:t>
      </w:r>
    </w:p>
    <w:p w:rsidR="00CC0DCE" w:rsidP="20249DD1" w:rsidRDefault="00DD4AF6" w14:paraId="5A684D74" w14:textId="271D4DFA">
      <w:pPr>
        <w:jc w:val="both"/>
      </w:pPr>
      <w:r w:rsidR="00DD4AF6">
        <w:rPr/>
        <w:t>Annual Accounts:</w:t>
      </w:r>
      <w:r>
        <w:br/>
      </w:r>
      <w:r w:rsidR="00DD4AF6">
        <w:rPr/>
        <w:t>- Accounts will be prepared at the end of each financial year, presented to the Steering Group, and ratified at the AGM.</w:t>
      </w:r>
    </w:p>
    <w:p w:rsidR="00CC0DCE" w:rsidP="20249DD1" w:rsidRDefault="00DD4AF6" w14:paraId="6E7042FD" w14:textId="2F8126F2">
      <w:pPr>
        <w:jc w:val="both"/>
      </w:pPr>
      <w:r w:rsidR="00DD4AF6">
        <w:rPr/>
        <w:t>Budgeting:</w:t>
      </w:r>
      <w:r>
        <w:br/>
      </w:r>
      <w:r w:rsidR="00DD4AF6">
        <w:rPr/>
        <w:t>- A budgeted income and expenditure account will be approved before each financial year.</w:t>
      </w:r>
      <w:r>
        <w:br/>
      </w:r>
      <w:r w:rsidR="00DD4AF6">
        <w:rPr/>
        <w:t>- Quarterly reports comparing actual income/expenditure with the budget will be presented to the Steering Group.</w:t>
      </w:r>
    </w:p>
    <w:p w:rsidR="00CC0DCE" w:rsidP="4CA5B382" w:rsidRDefault="00DD4AF6" w14:paraId="63C6DAAB" w14:textId="2C33EB78">
      <w:pPr>
        <w:jc w:val="both"/>
      </w:pPr>
      <w:r w:rsidR="00DD4AF6">
        <w:rPr/>
        <w:t>Retention:</w:t>
      </w:r>
      <w:r>
        <w:br/>
      </w:r>
      <w:r w:rsidR="00DD4AF6">
        <w:rPr/>
        <w:t>- Financial records will be retained for 6 years in compliance with audit and legal requirements.</w:t>
      </w:r>
    </w:p>
    <w:p w:rsidR="00CC0DCE" w:rsidRDefault="00DD4AF6" w14:paraId="5EBFCE93" w14:textId="0F221F5D">
      <w:r>
        <w:t>GDPR Compliance:</w:t>
      </w:r>
      <w:r>
        <w:br/>
      </w:r>
      <w:r>
        <w:t>- All personal and financial data will be stored securely and processed in line with GDPR.</w:t>
      </w:r>
    </w:p>
    <w:p w:rsidR="00CC0DCE" w:rsidRDefault="00DD4AF6" w14:paraId="7F64D249" w14:textId="64B120FF">
      <w:pPr>
        <w:pStyle w:val="Heading1"/>
      </w:pPr>
      <w:r>
        <w:t>2. Receipts</w:t>
      </w:r>
    </w:p>
    <w:p w:rsidR="00CC0DCE" w:rsidRDefault="00DD4AF6" w14:paraId="59E44882" w14:textId="576B6A78">
      <w:r>
        <w:t>All monies received will be recorded and banked promptly.</w:t>
      </w:r>
    </w:p>
    <w:p w:rsidR="00CC0DCE" w:rsidRDefault="00DD4AF6" w14:paraId="25BE8529" w14:textId="40C3580D">
      <w:r>
        <w:t>Electronic records of receipts are acceptable if originals are unavailable.</w:t>
      </w:r>
    </w:p>
    <w:p w:rsidR="00CC0DCE" w:rsidRDefault="00DD4AF6" w14:paraId="190738E2" w14:textId="4AB9DC6B">
      <w:pPr>
        <w:pStyle w:val="Heading1"/>
      </w:pPr>
      <w:r>
        <w:t>3. Payments</w:t>
      </w:r>
    </w:p>
    <w:p w:rsidR="00CC0DCE" w:rsidRDefault="00DD4AF6" w14:paraId="451DF86A" w14:textId="1FDACBCF">
      <w:r>
        <w:t>Payments must:</w:t>
      </w:r>
      <w:r>
        <w:br/>
      </w:r>
      <w:r>
        <w:t>- Be within the agreed budget.</w:t>
      </w:r>
      <w:r>
        <w:br/>
      </w:r>
      <w:r>
        <w:t>- Be approved by the Steering Group and/or grant holder.</w:t>
      </w:r>
      <w:r>
        <w:br/>
      </w:r>
      <w:r>
        <w:t>- Follow Contact guidelines and funder requirements.</w:t>
      </w:r>
    </w:p>
    <w:p w:rsidR="00CC0DCE" w:rsidRDefault="00DD4AF6" w14:paraId="29CFCAD5" w14:textId="5C9E3087">
      <w:r>
        <w:t>Authorisation:</w:t>
      </w:r>
      <w:r>
        <w:br/>
      </w:r>
      <w:r>
        <w:t>- Online transactions require written/email authorisation from another officer.</w:t>
      </w:r>
      <w:r>
        <w:br/>
      </w:r>
      <w:r>
        <w:t>- Dual authorisation is required for payments over £500.</w:t>
      </w:r>
    </w:p>
    <w:p w:rsidR="00CC0DCE" w:rsidRDefault="00DD4AF6" w14:paraId="23A51C6E" w14:textId="252E4BF9">
      <w:r>
        <w:t>Fraud Prevention:</w:t>
      </w:r>
      <w:r>
        <w:br/>
      </w:r>
      <w:r>
        <w:t>- Secure handling of banking credentials and two-factor authentication is mandatory.</w:t>
      </w:r>
    </w:p>
    <w:p w:rsidR="00CC0DCE" w:rsidRDefault="00DD4AF6" w14:paraId="104073A4" w14:textId="7B16E9F0">
      <w:pPr>
        <w:pStyle w:val="Heading1"/>
      </w:pPr>
      <w:r>
        <w:t>4. Payment Documentation</w:t>
      </w:r>
    </w:p>
    <w:p w:rsidR="00CC0DCE" w:rsidRDefault="00DD4AF6" w14:paraId="13A11F97" w14:textId="3E5FD088">
      <w:r>
        <w:t>Every payment must be supported by original or scanned invoices/receipts.</w:t>
      </w:r>
    </w:p>
    <w:p w:rsidR="00CC0DCE" w:rsidP="4CA5B382" w:rsidRDefault="00DD4AF6" w14:paraId="2745A27F" w14:textId="460E76D6">
      <w:pPr>
        <w:jc w:val="both"/>
      </w:pPr>
      <w:r w:rsidR="00DD4AF6">
        <w:rPr/>
        <w:t>All payments will be recorded promptly on the PCVH finance spreadsheet with reference details.</w:t>
      </w:r>
    </w:p>
    <w:p w:rsidR="00CC0DCE" w:rsidRDefault="00DD4AF6" w14:paraId="3577B648" w14:textId="32E7E91F">
      <w:pPr>
        <w:pStyle w:val="Heading1"/>
      </w:pPr>
      <w:r>
        <w:t>5. Expenses</w:t>
      </w:r>
    </w:p>
    <w:p w:rsidR="00CC0DCE" w:rsidRDefault="00DD4AF6" w14:paraId="4C98C152" w14:textId="42B3E2F8">
      <w:r>
        <w:t>Expenses are out-of-pocket costs incurred for PCVH activities (e.g., travel, childcare, refreshments).</w:t>
      </w:r>
    </w:p>
    <w:p w:rsidR="00CC0DCE" w:rsidP="4CA5B382" w:rsidRDefault="00DD4AF6" w14:paraId="1B3D467A" w14:textId="612DCAE4">
      <w:pPr>
        <w:jc w:val="both"/>
      </w:pPr>
      <w:r w:rsidR="00DD4AF6">
        <w:rPr/>
        <w:t>Claims must:</w:t>
      </w:r>
      <w:r>
        <w:br/>
      </w:r>
      <w:r w:rsidR="00DD4AF6">
        <w:rPr/>
        <w:t>- Include receipts for public transport, parking, refreshments.</w:t>
      </w:r>
      <w:r>
        <w:br/>
      </w:r>
      <w:r w:rsidR="00DD4AF6">
        <w:rPr/>
        <w:t>- Mileage claims at 45p per mile.</w:t>
      </w:r>
      <w:r>
        <w:br/>
      </w:r>
      <w:r w:rsidR="00DD4AF6">
        <w:rPr/>
        <w:t>- Childcare claims must include signed evidence from the provider confirming responsibility for tax/benefits.</w:t>
      </w:r>
    </w:p>
    <w:p w:rsidR="00CC0DCE" w:rsidRDefault="00DD4AF6" w14:paraId="18C56813" w14:textId="77777777">
      <w:r>
        <w:t>Expense claims can be submitted electronically with digital signatures.</w:t>
      </w:r>
    </w:p>
    <w:p w:rsidR="00CC0DCE" w:rsidRDefault="00DD4AF6" w14:paraId="68366BC1" w14:textId="38E8C493">
      <w:pPr>
        <w:pStyle w:val="Heading1"/>
      </w:pPr>
      <w:r>
        <w:t>6. Remuneration</w:t>
      </w:r>
    </w:p>
    <w:p w:rsidR="00CC0DCE" w:rsidRDefault="00DD4AF6" w14:paraId="0AD0B690" w14:textId="501DF1DC">
      <w:r>
        <w:t>Paid only for activities where members represent PCVH at approved meetings/events.</w:t>
      </w:r>
    </w:p>
    <w:p w:rsidR="00CC0DCE" w:rsidRDefault="00DD4AF6" w14:paraId="03F877ED" w14:textId="42DD7A4F">
      <w:r>
        <w:t>Rate: £10.00 per hour, up to 5 hours per day.</w:t>
      </w:r>
    </w:p>
    <w:p w:rsidR="00CC0DCE" w:rsidRDefault="00DD4AF6" w14:paraId="6E1D68C1" w14:textId="77777777">
      <w:r>
        <w:t>Not payable for Steering Group or sub-group meetings.</w:t>
      </w:r>
    </w:p>
    <w:p w:rsidR="00CC0DCE" w:rsidRDefault="00DD4AF6" w14:paraId="7948B403" w14:textId="2CCA652D">
      <w:r>
        <w:t>All claims must:</w:t>
      </w:r>
      <w:r>
        <w:br/>
      </w:r>
      <w:r>
        <w:t>- Be pre-approved by the Steering Group.</w:t>
      </w:r>
      <w:r>
        <w:br/>
      </w:r>
      <w:r>
        <w:t>- Include a Parent Representative Feedback Form.</w:t>
      </w:r>
    </w:p>
    <w:p w:rsidR="00CC0DCE" w:rsidRDefault="00DD4AF6" w14:paraId="752ED9B0" w14:textId="0EBD9CC2">
      <w:r>
        <w:t>Individuals are responsible for declaring earnings for tax/benefits.</w:t>
      </w:r>
    </w:p>
    <w:p w:rsidR="00CC0DCE" w:rsidRDefault="00DD4AF6" w14:paraId="216225DB" w14:textId="37FCBF66">
      <w:pPr>
        <w:pStyle w:val="Heading1"/>
      </w:pPr>
      <w:r>
        <w:t>7. Staff</w:t>
      </w:r>
    </w:p>
    <w:p w:rsidR="00CC0DCE" w:rsidRDefault="00DD4AF6" w14:paraId="4D531235" w14:textId="44F4C54F">
      <w:r>
        <w:t>All staff will be self-employed and responsible for their own tax and NI.</w:t>
      </w:r>
    </w:p>
    <w:p w:rsidR="00CC0DCE" w:rsidRDefault="00DD4AF6" w14:paraId="06EE5852" w14:textId="77777777">
      <w:r>
        <w:t>Payments follow the same authorisation and documentation rules.</w:t>
      </w:r>
    </w:p>
    <w:p w:rsidR="00CC0DCE" w:rsidRDefault="00DD4AF6" w14:paraId="00BEE5D5" w14:textId="194A03EC">
      <w:r>
        <w:t>Committee members may be paid for work separate from their committee role.</w:t>
      </w:r>
    </w:p>
    <w:p w:rsidR="00CC0DCE" w:rsidRDefault="00DD4AF6" w14:paraId="3683DE04" w14:textId="5407DF6B">
      <w:r>
        <w:t>Staff will be supervised by a nominated Committee Member, with timesheets and targets monitored.</w:t>
      </w:r>
    </w:p>
    <w:p w:rsidR="00CC0DCE" w:rsidRDefault="00DD4AF6" w14:paraId="7BE91DC9" w14:textId="018D029C">
      <w:pPr>
        <w:pStyle w:val="Heading1"/>
      </w:pPr>
      <w:r>
        <w:t>8. Other Rules</w:t>
      </w:r>
    </w:p>
    <w:p w:rsidR="00CC0DCE" w:rsidRDefault="00DD4AF6" w14:paraId="3928A7A0" w14:textId="27152A3A">
      <w:r>
        <w:t>No financial commitment unless properly authorised and within budget.</w:t>
      </w:r>
    </w:p>
    <w:p w:rsidR="00CC0DCE" w:rsidRDefault="00DD4AF6" w14:paraId="67B3657C" w14:textId="41D23E7C">
      <w:r>
        <w:t>Orders or undertakings over £400 require Steering Group approval and minuting.</w:t>
      </w:r>
    </w:p>
    <w:p w:rsidR="00CC0DCE" w:rsidRDefault="00DD4AF6" w14:paraId="6849475F" w14:textId="77777777">
      <w:r>
        <w:t>In exceptional cases, Chair approval is allowed but must be reported at the next meeting.</w:t>
      </w:r>
    </w:p>
    <w:p w:rsidR="00CC0DCE" w:rsidRDefault="00DD4AF6" w14:paraId="5E43F4FB" w14:textId="69AB256D">
      <w:r>
        <w:t>Asset Management:</w:t>
      </w:r>
      <w:r>
        <w:br/>
      </w:r>
      <w:r>
        <w:t>- Maintain a fixed asset register and property record for significant items.</w:t>
      </w:r>
      <w:r>
        <w:br/>
      </w:r>
      <w:r>
        <w:t>- Assets must be returned if members leave.</w:t>
      </w:r>
    </w:p>
    <w:p w:rsidR="00CC0DCE" w:rsidP="4CA5B382" w:rsidRDefault="00DD4AF6" w14:paraId="701A297B" w14:textId="796BAA84">
      <w:pPr>
        <w:jc w:val="both"/>
      </w:pPr>
      <w:r w:rsidR="00DD4AF6">
        <w:rPr/>
        <w:t>Purchasing:</w:t>
      </w:r>
      <w:r>
        <w:br/>
      </w:r>
      <w:r w:rsidR="00DD4AF6">
        <w:rPr/>
        <w:t>- Goods/services over a set value require at least two quotes and a value-for-money decision.</w:t>
      </w:r>
    </w:p>
    <w:p w:rsidR="00CC0DCE" w:rsidRDefault="00DD4AF6" w14:paraId="36B64DE4" w14:textId="77F4D1A1">
      <w:r>
        <w:t>Conflict of Interest:</w:t>
      </w:r>
      <w:r>
        <w:br/>
      </w:r>
      <w:r>
        <w:t>- Members must declare any personal interest in paid work or contracts.</w:t>
      </w:r>
      <w:r>
        <w:br/>
      </w:r>
      <w:r>
        <w:t>- Annual signed declarations will be required.</w:t>
      </w:r>
    </w:p>
    <w:p w:rsidR="00CC0DCE" w:rsidRDefault="00DD4AF6" w14:paraId="0AD70790" w14:textId="2EC5DCE8">
      <w:pPr>
        <w:pStyle w:val="Heading1"/>
      </w:pPr>
      <w:r>
        <w:t>Approval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1372" w14:paraId="4DD822C8" w14:textId="77777777">
        <w:tc>
          <w:tcPr>
            <w:tcW w:w="4680" w:type="dxa"/>
          </w:tcPr>
          <w:p w:rsidR="00CC0DCE" w:rsidRDefault="00DD4AF6" w14:paraId="7649C9B8" w14:textId="77777777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4680" w:type="dxa"/>
          </w:tcPr>
          <w:p w:rsidR="00CC0DCE" w:rsidRDefault="00DD4AF6" w14:paraId="07CC90B5" w14:textId="77777777">
            <w:pPr>
              <w:jc w:val="center"/>
            </w:pPr>
            <w:r>
              <w:rPr>
                <w:b/>
              </w:rPr>
              <w:t>Signature</w:t>
            </w:r>
          </w:p>
        </w:tc>
      </w:tr>
      <w:tr w:rsidR="00BF1372" w14:paraId="70C3229C" w14:textId="77777777">
        <w:tc>
          <w:tcPr>
            <w:tcW w:w="4680" w:type="dxa"/>
          </w:tcPr>
          <w:p w:rsidR="00CC0DCE" w:rsidRDefault="00BF1372" w14:paraId="77BB20E1" w14:textId="0DDDBEA8">
            <w:r>
              <w:t xml:space="preserve">Sara Reid </w:t>
            </w:r>
          </w:p>
        </w:tc>
        <w:tc>
          <w:tcPr>
            <w:tcW w:w="4680" w:type="dxa"/>
          </w:tcPr>
          <w:p w:rsidR="00CC0DCE" w:rsidRDefault="00BF1372" w14:paraId="60E949DA" w14:textId="69EDDFEB">
            <w:r>
              <w:rPr>
                <w:noProof/>
              </w:rPr>
              <w:drawing>
                <wp:inline distT="0" distB="0" distL="0" distR="0" wp14:anchorId="65B41781" wp14:editId="599FEB0D">
                  <wp:extent cx="591197" cy="225425"/>
                  <wp:effectExtent l="0" t="0" r="0" b="3175"/>
                  <wp:docPr id="17727605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760584" name="Picture 177276058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71" cy="23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372" w14:paraId="550AF806" w14:textId="77777777">
        <w:tc>
          <w:tcPr>
            <w:tcW w:w="4680" w:type="dxa"/>
          </w:tcPr>
          <w:p w:rsidR="00CC0DCE" w:rsidRDefault="00BF1372" w14:paraId="0913A287" w14:textId="7AE98216">
            <w:r>
              <w:t>Debbie Hobbs</w:t>
            </w:r>
          </w:p>
        </w:tc>
        <w:tc>
          <w:tcPr>
            <w:tcW w:w="4680" w:type="dxa"/>
          </w:tcPr>
          <w:p w:rsidR="00CC0DCE" w:rsidRDefault="00BF1372" w14:paraId="514EBF3A" w14:textId="27F37F89">
            <w:r>
              <w:rPr>
                <w:noProof/>
              </w:rPr>
              <w:drawing>
                <wp:inline distT="0" distB="0" distL="0" distR="0" wp14:anchorId="4370660A" wp14:editId="2D52B96A">
                  <wp:extent cx="571500" cy="261364"/>
                  <wp:effectExtent l="0" t="0" r="0" b="5715"/>
                  <wp:docPr id="582393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393305" name="Picture 58239330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050" cy="2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AF6" w:rsidRDefault="00DD4AF6" w14:paraId="20D9E3DC" w14:textId="5833EF48"/>
    <w:sectPr w:rsidR="000000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6460"/>
    <w:rsid w:val="002E51AB"/>
    <w:rsid w:val="0036562D"/>
    <w:rsid w:val="004976E0"/>
    <w:rsid w:val="005A534A"/>
    <w:rsid w:val="00827C87"/>
    <w:rsid w:val="00A352C8"/>
    <w:rsid w:val="00B41C2B"/>
    <w:rsid w:val="00BF1372"/>
    <w:rsid w:val="00C26D93"/>
    <w:rsid w:val="00C27141"/>
    <w:rsid w:val="00CC0DCE"/>
    <w:rsid w:val="00D32292"/>
    <w:rsid w:val="00D75435"/>
    <w:rsid w:val="00DA6C12"/>
    <w:rsid w:val="00DD4AF6"/>
    <w:rsid w:val="00DE5146"/>
    <w:rsid w:val="00DF2FBF"/>
    <w:rsid w:val="00FB3270"/>
    <w:rsid w:val="145DDC06"/>
    <w:rsid w:val="1AE30756"/>
    <w:rsid w:val="1F8D6634"/>
    <w:rsid w:val="20249DD1"/>
    <w:rsid w:val="2D80E839"/>
    <w:rsid w:val="30A8A375"/>
    <w:rsid w:val="370F4FAD"/>
    <w:rsid w:val="4143A0E1"/>
    <w:rsid w:val="42F51039"/>
    <w:rsid w:val="4C9D2FD7"/>
    <w:rsid w:val="4CA5B382"/>
    <w:rsid w:val="4DC79EA7"/>
    <w:rsid w:val="5DEBE129"/>
    <w:rsid w:val="608EF83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9A15"/>
  <w15:chartTrackingRefBased/>
  <w15:docId w15:val="{D745E40B-03CB-45CA-A742-9217D56BE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jpeg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9bd57-d551-4b82-ae82-dd830ca4a3da" xsi:nil="true"/>
    <lcf76f155ced4ddcb4097134ff3c332f xmlns="b38e45a6-46cf-41b2-a3b6-16c725b3f5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035D183C65F43BE30D5B450487DB9" ma:contentTypeVersion="12" ma:contentTypeDescription="Create a new document." ma:contentTypeScope="" ma:versionID="e0dbc3cabd92c4faa394ea5c1737dc8f">
  <xsd:schema xmlns:xsd="http://www.w3.org/2001/XMLSchema" xmlns:xs="http://www.w3.org/2001/XMLSchema" xmlns:p="http://schemas.microsoft.com/office/2006/metadata/properties" xmlns:ns2="b38e45a6-46cf-41b2-a3b6-16c725b3f51f" xmlns:ns3="6109bd57-d551-4b82-ae82-dd830ca4a3da" targetNamespace="http://schemas.microsoft.com/office/2006/metadata/properties" ma:root="true" ma:fieldsID="341c6add2dc90241844eb4d617853846" ns2:_="" ns3:_="">
    <xsd:import namespace="b38e45a6-46cf-41b2-a3b6-16c725b3f51f"/>
    <xsd:import namespace="6109bd57-d551-4b82-ae82-dd830ca4a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e45a6-46cf-41b2-a3b6-16c725b3f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64cdf6-8336-450f-a0c4-62da0b0e9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9bd57-d551-4b82-ae82-dd830ca4a3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fe889-d56c-4411-909c-d1e435d7abd3}" ma:internalName="TaxCatchAll" ma:showField="CatchAllData" ma:web="6109bd57-d551-4b82-ae82-dd830ca4a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8F252-0A6E-40CF-87BB-DB1BCA8C7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F26D0-FE20-4458-AAF0-6B33CBE0059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b38e45a6-46cf-41b2-a3b6-16c725b3f51f"/>
    <ds:schemaRef ds:uri="6109bd57-d551-4b82-ae82-dd830ca4a3da"/>
  </ds:schemaRefs>
</ds:datastoreItem>
</file>

<file path=customXml/itemProps3.xml><?xml version="1.0" encoding="utf-8"?>
<ds:datastoreItem xmlns:ds="http://schemas.openxmlformats.org/officeDocument/2006/customXml" ds:itemID="{082F7289-52BF-4810-8047-74DF6B281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e45a6-46cf-41b2-a3b6-16c725b3f51f"/>
    <ds:schemaRef ds:uri="6109bd57-d551-4b82-ae82-dd830ca4a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Sara Reid</lastModifiedBy>
  <revision>5</revision>
  <dcterms:created xsi:type="dcterms:W3CDTF">2025-11-11T11:51:00.0000000Z</dcterms:created>
  <dcterms:modified xsi:type="dcterms:W3CDTF">2025-11-14T11:29:31.6588067Z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0x010100D7A035D183C65F43BE30D5B450487DB9</vt:lpwstr>
  </property>
  <property fmtid="{D5CDD505-2E9C-101B-9397-08002B2CF9AE}" pid="3" name="MediaServiceImageTags">
    <vt:lpwstr/>
  </property>
</Properties>
</file>